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DC Cook Questions and Comments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TIF and what does it imply?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if the building was converted into a retirement home? Residents could stay in the community after they retire.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of the museum could be housed there.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U46 could use the building for a school.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group of residents could act as investors of an Elgin Citizen Fund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Has any discussion taken place with DC Cook that they would be willing to rent or lease the building?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use for that building in regard to zoning?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NENA needs to look for developers and do the marketing.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entities could work together, developer, citizens, city.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doesn’t DC Cook just donate the building?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about trading a property?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much square footage are we talking about? 24,000 sq feet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NENA contacted Emerson in Woodstock ? Kresmery built a new development along with other builders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about work share space?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find a buyer for the whole property, are they willing to sell?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front part of the property is the one that holds value. (the whole site is valuable.)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riverfront plan has been around for 20 years. Chicago sustainab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manufacturing center.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Maker’s space?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they be willing to put 1.5 million towards renovations instead of demolition?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Judson planning to use the building for? Off campus housing?  Football?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DC Cook might support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STEM education center.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they wanted to tear it down instead of keeping it, would they only guarantee a 5 year rental?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they extend the rental time?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any possibility to focus to preserve only the façade of the building?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Kennedy School in Portland, turned into a hotel, movie, brewery, restaurants – limited hours in a residential area.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need the vision and the money.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discussions with DC Cook management and others? Would the building be designated as a historic landmark?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is of the essence.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